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B6E0" w14:textId="196969C0" w:rsidR="00D77A28" w:rsidRPr="00BB4AD4" w:rsidRDefault="00BB4AD4" w:rsidP="00BB4AD4">
      <w:pPr>
        <w:tabs>
          <w:tab w:val="left" w:pos="516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BB4AD4">
        <w:rPr>
          <w:rFonts w:ascii="Arial Narrow" w:hAnsi="Arial Narrow" w:cs="Arial"/>
        </w:rPr>
        <w:tab/>
      </w:r>
    </w:p>
    <w:p w14:paraId="157A725D" w14:textId="31F53DE6" w:rsidR="00D77A28" w:rsidRPr="003937F3" w:rsidRDefault="00B14AC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FF0000"/>
        </w:rPr>
      </w:pPr>
      <w:r w:rsidRPr="00BB4AD4">
        <w:rPr>
          <w:rFonts w:ascii="Arial Narrow" w:hAnsi="Arial Narrow" w:cs="Arial"/>
          <w:b/>
          <w:bCs/>
        </w:rPr>
        <w:t>CONTRATO N</w:t>
      </w:r>
      <w:r w:rsidR="00D77A28" w:rsidRPr="00BB4AD4">
        <w:rPr>
          <w:rFonts w:ascii="Arial Narrow" w:hAnsi="Arial Narrow" w:cs="Arial"/>
          <w:b/>
          <w:bCs/>
        </w:rPr>
        <w:t xml:space="preserve">º </w:t>
      </w:r>
      <w:r w:rsidR="00BB4AD4" w:rsidRPr="00BB4AD4">
        <w:rPr>
          <w:rFonts w:ascii="Arial Narrow" w:hAnsi="Arial Narrow" w:cs="Arial"/>
          <w:b/>
          <w:bCs/>
        </w:rPr>
        <w:t>3004005</w:t>
      </w:r>
      <w:r w:rsidR="005952DD" w:rsidRPr="00BB4AD4">
        <w:rPr>
          <w:rFonts w:ascii="Arial Narrow" w:hAnsi="Arial Narrow" w:cs="Arial"/>
          <w:b/>
          <w:bCs/>
        </w:rPr>
        <w:t>/2020 – DL – PMSBP–FMS</w:t>
      </w:r>
    </w:p>
    <w:p w14:paraId="3B7CBB68" w14:textId="0A6AC23F" w:rsidR="005952DD" w:rsidRPr="003937F3" w:rsidRDefault="0075332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FF0000"/>
        </w:rPr>
      </w:pPr>
      <w:r w:rsidRPr="00BB4AD4">
        <w:rPr>
          <w:rFonts w:ascii="Arial Narrow" w:hAnsi="Arial Narrow" w:cs="Arial"/>
          <w:b/>
          <w:bCs/>
        </w:rPr>
        <w:t>Processo Administrativo n° 2204001/2020-CPL-PMSBP</w:t>
      </w:r>
    </w:p>
    <w:p w14:paraId="3B2E53D5" w14:textId="662F318D" w:rsidR="005952DD" w:rsidRPr="00BB4AD4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BB4AD4">
        <w:rPr>
          <w:rFonts w:ascii="Arial Narrow" w:hAnsi="Arial Narrow" w:cs="Arial"/>
          <w:b/>
          <w:bCs/>
        </w:rPr>
        <w:t xml:space="preserve">Origem: </w:t>
      </w:r>
      <w:r w:rsidR="0075332E" w:rsidRPr="00BB4AD4">
        <w:rPr>
          <w:rFonts w:ascii="Arial Narrow" w:hAnsi="Arial Narrow" w:cs="Arial"/>
          <w:b/>
          <w:bCs/>
        </w:rPr>
        <w:t>DISPENSA DE LICITAÇÃO 7/0072020-DL-PMSBP-FMS</w:t>
      </w:r>
    </w:p>
    <w:p w14:paraId="7B52DE0E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351DAA76" w14:textId="77777777" w:rsidR="005952DD" w:rsidRPr="00E804C8" w:rsidRDefault="00D77A28" w:rsidP="005952DD">
      <w:pPr>
        <w:jc w:val="both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</w:rPr>
        <w:t xml:space="preserve">                                         </w:t>
      </w:r>
    </w:p>
    <w:p w14:paraId="4E212F95" w14:textId="45723054" w:rsidR="00D77A28" w:rsidRPr="006F74C1" w:rsidRDefault="00BB4AD4" w:rsidP="005952DD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 Narrow" w:hAnsi="Arial Narrow" w:cs="Arial"/>
          <w:bCs/>
        </w:rPr>
      </w:pPr>
      <w:r w:rsidRPr="00BB4AD4">
        <w:rPr>
          <w:rFonts w:ascii="Arial Narrow" w:hAnsi="Arial Narrow" w:cs="Arial"/>
          <w:b/>
          <w:bCs/>
        </w:rPr>
        <w:t>CONTRATO Nº 3004005/2020 – DL – PMSBP–FMS</w:t>
      </w:r>
      <w:r w:rsidR="005952DD" w:rsidRPr="00BB4AD4">
        <w:rPr>
          <w:rFonts w:ascii="Arial Narrow" w:hAnsi="Arial Narrow" w:cs="Arial"/>
          <w:bCs/>
        </w:rPr>
        <w:t xml:space="preserve">, </w:t>
      </w:r>
      <w:r w:rsidR="005952DD" w:rsidRPr="00E804C8">
        <w:rPr>
          <w:rFonts w:ascii="Arial Narrow" w:hAnsi="Arial Narrow" w:cs="Arial"/>
          <w:bCs/>
        </w:rPr>
        <w:t xml:space="preserve">QUE ENTRE SÍ CELEBRAM DE UM LADO, </w:t>
      </w:r>
      <w:r w:rsidR="00EF57CF">
        <w:rPr>
          <w:rFonts w:ascii="Arial Narrow" w:hAnsi="Arial Narrow" w:cs="Arial"/>
          <w:bCs/>
        </w:rPr>
        <w:t>A SECRETARIA MUNICIPAL DE SAÚDE DE SANTA BÁRBARA DO PARÁ</w:t>
      </w:r>
      <w:r w:rsidR="005952DD" w:rsidRPr="00E804C8">
        <w:rPr>
          <w:rFonts w:ascii="Arial Narrow" w:hAnsi="Arial Narrow" w:cs="Arial"/>
          <w:bCs/>
        </w:rPr>
        <w:t xml:space="preserve">, E DE OUTRO LADO, A EMPRESA </w:t>
      </w:r>
      <w:r w:rsidR="003534B5">
        <w:rPr>
          <w:rFonts w:ascii="Arial Narrow" w:hAnsi="Arial Narrow" w:cs="Arial"/>
          <w:b/>
          <w:bCs/>
        </w:rPr>
        <w:t>J CARDOSO FILHO COMÉRCIO E SERVIÇOS – EPP</w:t>
      </w:r>
      <w:r w:rsidR="005952DD" w:rsidRPr="00E804C8">
        <w:rPr>
          <w:rFonts w:ascii="Arial Narrow" w:hAnsi="Arial Narrow" w:cs="Arial"/>
          <w:bCs/>
        </w:rPr>
        <w:t>, COMO MELHOR ABAIXO SE DECLARA:</w:t>
      </w:r>
    </w:p>
    <w:p w14:paraId="6A2B423D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8991992" w14:textId="5BD8A390" w:rsidR="005952DD" w:rsidRDefault="005952DD" w:rsidP="005952D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804C8">
        <w:rPr>
          <w:rFonts w:ascii="Arial Narrow" w:hAnsi="Arial Narrow" w:cs="Arial"/>
          <w:color w:val="000000"/>
        </w:rPr>
        <w:t xml:space="preserve">Pelo presente instrumento, de um lado o </w:t>
      </w:r>
      <w:r w:rsidRPr="003E06BD">
        <w:rPr>
          <w:rFonts w:ascii="Arial Narrow" w:hAnsi="Arial Narrow" w:cs="Arial"/>
        </w:rPr>
        <w:t>Fundo Municipal de Saúde</w:t>
      </w:r>
      <w:r w:rsidR="00F60E49">
        <w:rPr>
          <w:rFonts w:ascii="Arial Narrow" w:hAnsi="Arial Narrow" w:cs="Arial"/>
        </w:rPr>
        <w:t xml:space="preserve"> de Santa Bárbara do Pará</w:t>
      </w:r>
      <w:r w:rsidRPr="003E06BD">
        <w:rPr>
          <w:rFonts w:ascii="Arial Narrow" w:hAnsi="Arial Narrow" w:cs="Arial"/>
        </w:rPr>
        <w:t>, CNPJ: 17.860.920/</w:t>
      </w:r>
      <w:proofErr w:type="gramStart"/>
      <w:r w:rsidRPr="003E06BD">
        <w:rPr>
          <w:rFonts w:ascii="Arial Narrow" w:hAnsi="Arial Narrow" w:cs="Arial"/>
        </w:rPr>
        <w:t>0001-82</w:t>
      </w:r>
      <w:r>
        <w:rPr>
          <w:rFonts w:ascii="Arial Narrow" w:hAnsi="Arial Narrow" w:cs="Arial"/>
        </w:rPr>
        <w:t>, neste ato representado por sua</w:t>
      </w:r>
      <w:r w:rsidRPr="003E06BD">
        <w:rPr>
          <w:rFonts w:ascii="Arial Narrow" w:hAnsi="Arial Narrow" w:cs="Arial"/>
        </w:rPr>
        <w:t xml:space="preserve"> Secretári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Municipal Sr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Maria</w:t>
      </w:r>
      <w:proofErr w:type="gramEnd"/>
      <w:r>
        <w:rPr>
          <w:rFonts w:ascii="Arial Narrow" w:hAnsi="Arial Narrow" w:cs="Arial"/>
          <w:b/>
        </w:rPr>
        <w:t xml:space="preserve"> da Graça do Nascimento Melo</w:t>
      </w:r>
      <w:r w:rsidRPr="003E06BD">
        <w:rPr>
          <w:rFonts w:ascii="Arial Narrow" w:hAnsi="Arial Narrow" w:cs="Arial"/>
        </w:rPr>
        <w:t xml:space="preserve">, CPF: </w:t>
      </w:r>
      <w:r>
        <w:rPr>
          <w:rFonts w:ascii="Arial Narrow" w:hAnsi="Arial Narrow" w:cs="Arial"/>
        </w:rPr>
        <w:t>028.969.742-53</w:t>
      </w:r>
      <w:r w:rsidRPr="003E06BD">
        <w:rPr>
          <w:rFonts w:ascii="Arial Narrow" w:hAnsi="Arial Narrow" w:cs="Arial"/>
        </w:rPr>
        <w:t>, denominad</w:t>
      </w:r>
      <w:r w:rsidR="00F60E49"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CONTRATANTE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</w:rPr>
        <w:t xml:space="preserve">e do outro lado à empresa </w:t>
      </w:r>
      <w:bookmarkStart w:id="0" w:name="_Hlk40388911"/>
      <w:r w:rsidR="003534B5">
        <w:rPr>
          <w:rFonts w:ascii="Arial Narrow" w:hAnsi="Arial Narrow" w:cs="Arial"/>
          <w:b/>
          <w:bCs/>
        </w:rPr>
        <w:t>J CARDOSO FILHO COMÉRCIO E SERVIÇOS – EPP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  <w:b/>
          <w:bCs/>
          <w:color w:val="000000"/>
        </w:rPr>
        <w:t xml:space="preserve">CNPJ n° </w:t>
      </w:r>
      <w:bookmarkEnd w:id="0"/>
      <w:r w:rsidR="003534B5">
        <w:rPr>
          <w:rFonts w:ascii="Arial Narrow" w:hAnsi="Arial Narrow" w:cs="Arial"/>
          <w:b/>
          <w:bCs/>
          <w:color w:val="000000"/>
        </w:rPr>
        <w:t>10.243.376/0001-80</w:t>
      </w:r>
      <w:r w:rsidRPr="00E804C8">
        <w:rPr>
          <w:rFonts w:ascii="Arial Narrow" w:hAnsi="Arial Narrow" w:cs="Arial"/>
          <w:b/>
          <w:bCs/>
          <w:color w:val="000000"/>
        </w:rPr>
        <w:t xml:space="preserve">, </w:t>
      </w:r>
      <w:r w:rsidR="003534B5" w:rsidRPr="00E173BA">
        <w:rPr>
          <w:rFonts w:ascii="Arial Narrow" w:hAnsi="Arial Narrow"/>
          <w:spacing w:val="-6"/>
          <w:shd w:val="clear" w:color="auto" w:fill="FFFFFF"/>
        </w:rPr>
        <w:t xml:space="preserve">sediada na </w:t>
      </w:r>
      <w:r w:rsidR="003534B5">
        <w:rPr>
          <w:rFonts w:ascii="Arial Narrow" w:hAnsi="Arial Narrow"/>
          <w:spacing w:val="-6"/>
          <w:shd w:val="clear" w:color="auto" w:fill="FFFFFF"/>
        </w:rPr>
        <w:t>Folha 33, Quadra 28, Lote 24</w:t>
      </w:r>
      <w:r w:rsidR="003534B5" w:rsidRPr="00E173BA">
        <w:rPr>
          <w:rFonts w:ascii="Arial Narrow" w:hAnsi="Arial Narrow"/>
          <w:spacing w:val="-6"/>
          <w:shd w:val="clear" w:color="auto" w:fill="FFFFFF"/>
        </w:rPr>
        <w:t xml:space="preserve">, Bairro </w:t>
      </w:r>
      <w:r w:rsidR="003534B5">
        <w:rPr>
          <w:rFonts w:ascii="Arial Narrow" w:hAnsi="Arial Narrow"/>
          <w:spacing w:val="-6"/>
          <w:shd w:val="clear" w:color="auto" w:fill="FFFFFF"/>
        </w:rPr>
        <w:t>Nova Marabá, Marabá/PA</w:t>
      </w:r>
      <w:r w:rsidRPr="00E804C8">
        <w:rPr>
          <w:rFonts w:ascii="Arial Narrow" w:hAnsi="Arial Narrow" w:cs="Arial"/>
          <w:bCs/>
          <w:color w:val="000000"/>
        </w:rPr>
        <w:t>,</w:t>
      </w:r>
      <w:r w:rsidRPr="00E804C8">
        <w:rPr>
          <w:rFonts w:ascii="Arial Narrow" w:hAnsi="Arial Narrow" w:cs="Arial"/>
          <w:color w:val="000000"/>
        </w:rPr>
        <w:t xml:space="preserve"> representada pelo Sr.</w:t>
      </w:r>
      <w:r>
        <w:rPr>
          <w:rFonts w:ascii="Arial Narrow" w:hAnsi="Arial Narrow" w:cs="Arial"/>
          <w:b/>
          <w:color w:val="000000"/>
        </w:rPr>
        <w:t xml:space="preserve"> </w:t>
      </w:r>
      <w:r w:rsidR="003534B5">
        <w:rPr>
          <w:rFonts w:ascii="Arial Narrow" w:hAnsi="Arial Narrow" w:cs="Arial"/>
          <w:b/>
          <w:color w:val="000000"/>
        </w:rPr>
        <w:t>AILTON ALIONARDO DE CARVALHO</w:t>
      </w:r>
      <w:r w:rsidRPr="00E804C8">
        <w:rPr>
          <w:rFonts w:ascii="Arial Narrow" w:hAnsi="Arial Narrow" w:cs="Arial"/>
          <w:color w:val="000000"/>
        </w:rPr>
        <w:t>, Inscrito sob o CPF/MF</w:t>
      </w:r>
      <w:r>
        <w:rPr>
          <w:rFonts w:ascii="Arial Narrow" w:hAnsi="Arial Narrow" w:cs="Arial"/>
          <w:color w:val="000000"/>
        </w:rPr>
        <w:t>:</w:t>
      </w:r>
      <w:r w:rsidRPr="00E804C8">
        <w:rPr>
          <w:rFonts w:ascii="Arial Narrow" w:hAnsi="Arial Narrow" w:cs="Arial"/>
          <w:color w:val="000000"/>
        </w:rPr>
        <w:t xml:space="preserve"> </w:t>
      </w:r>
      <w:r w:rsidR="003534B5">
        <w:rPr>
          <w:rFonts w:ascii="Arial Narrow" w:hAnsi="Arial Narrow" w:cs="Arial"/>
          <w:color w:val="000000"/>
        </w:rPr>
        <w:t>381.140.972-72</w:t>
      </w:r>
      <w:r w:rsidRPr="00E804C8">
        <w:rPr>
          <w:rFonts w:ascii="Arial Narrow" w:hAnsi="Arial Narrow" w:cs="Arial"/>
          <w:color w:val="000000"/>
        </w:rPr>
        <w:t xml:space="preserve">, denominada </w:t>
      </w:r>
      <w:r w:rsidRPr="00E804C8">
        <w:rPr>
          <w:rFonts w:ascii="Arial Narrow" w:hAnsi="Arial Narrow" w:cs="Arial"/>
          <w:b/>
          <w:bCs/>
        </w:rPr>
        <w:t>CONTRATADA</w:t>
      </w:r>
      <w:r w:rsidRPr="00E804C8">
        <w:rPr>
          <w:rFonts w:ascii="Arial Narrow" w:hAnsi="Arial Narrow" w:cs="Arial"/>
        </w:rPr>
        <w:t xml:space="preserve">, conforme </w:t>
      </w:r>
      <w:r w:rsidR="00BB4AD4" w:rsidRPr="00BB4AD4">
        <w:rPr>
          <w:rFonts w:ascii="Arial Narrow" w:hAnsi="Arial Narrow" w:cs="Arial"/>
          <w:b/>
        </w:rPr>
        <w:t>DISPENSA DE LICITAÇÃO 7/0072020-DL-PMSBP-FMS</w:t>
      </w:r>
      <w:r w:rsidRPr="00BB4AD4">
        <w:rPr>
          <w:rFonts w:ascii="Arial Narrow" w:hAnsi="Arial Narrow" w:cs="Arial"/>
          <w:b/>
          <w:bCs/>
        </w:rPr>
        <w:t xml:space="preserve">, </w:t>
      </w:r>
      <w:r w:rsidRPr="00E804C8">
        <w:rPr>
          <w:rFonts w:ascii="Arial Narrow" w:hAnsi="Arial Narrow" w:cs="Arial"/>
          <w:bCs/>
        </w:rPr>
        <w:t>resolvem</w:t>
      </w:r>
      <w:r w:rsidRPr="00E804C8">
        <w:rPr>
          <w:rFonts w:ascii="Arial Narrow" w:hAnsi="Arial Narrow" w:cs="Arial"/>
          <w:b/>
          <w:bCs/>
        </w:rPr>
        <w:t xml:space="preserve"> </w:t>
      </w:r>
      <w:r w:rsidRPr="00E804C8">
        <w:rPr>
          <w:rFonts w:ascii="Arial Narrow" w:hAnsi="Arial Narrow" w:cs="Arial"/>
          <w:bCs/>
        </w:rPr>
        <w:t xml:space="preserve">celebrar o presente contrato, </w:t>
      </w:r>
      <w:r w:rsidRPr="00E804C8">
        <w:rPr>
          <w:rFonts w:ascii="Arial Narrow" w:hAnsi="Arial Narrow" w:cs="Arial"/>
        </w:rPr>
        <w:t>em conformidade com a Lei 8666/93 e suas alterações, mediante as seguintes cláusulas:</w:t>
      </w:r>
    </w:p>
    <w:p w14:paraId="4476AFBC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13A85F" wp14:editId="0A2EFB8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56BB886B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14:paraId="184093E5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14:paraId="00766E72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5A77AC02" w14:textId="1F3D80DC" w:rsidR="00D77A28" w:rsidRPr="003E02D0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 xml:space="preserve">1.1. </w:t>
      </w:r>
      <w:r w:rsidRPr="006F74C1">
        <w:rPr>
          <w:rFonts w:ascii="Arial Narrow" w:hAnsi="Arial Narrow" w:cs="Arial"/>
        </w:rPr>
        <w:t xml:space="preserve">O objeto do presente Contrato versa sobre a </w:t>
      </w:r>
      <w:r w:rsidR="003534B5">
        <w:rPr>
          <w:rFonts w:ascii="Arial Narrow" w:hAnsi="Arial Narrow"/>
          <w:b/>
        </w:rPr>
        <w:t>CONTRATAÇÃO</w:t>
      </w:r>
      <w:r w:rsidR="003534B5" w:rsidRPr="00E173BA">
        <w:rPr>
          <w:rFonts w:ascii="Arial Narrow" w:hAnsi="Arial Narrow"/>
          <w:b/>
        </w:rPr>
        <w:t xml:space="preserve"> EMERGENCIAL DE </w:t>
      </w:r>
      <w:r w:rsidR="003534B5">
        <w:rPr>
          <w:rFonts w:ascii="Arial Narrow" w:hAnsi="Arial Narrow"/>
          <w:b/>
        </w:rPr>
        <w:t>EMPRESA PARA AQUISIÇÃO DE KIT DE VÁLVULA REGULDORA PARA OXIGÊNIO contendo (Regulador de pressão fixa, Fluxometro com capacidade de fluxo de 0 a 15l/min, Umidificador de polietileno e máscara de oxigênio adulto)</w:t>
      </w:r>
      <w:r w:rsidR="007847B0" w:rsidRPr="00E173BA">
        <w:rPr>
          <w:rFonts w:ascii="Arial Narrow" w:hAnsi="Arial Narrow"/>
          <w:b/>
        </w:rPr>
        <w:t xml:space="preserve">, </w:t>
      </w:r>
      <w:r w:rsidR="007847B0">
        <w:rPr>
          <w:rFonts w:ascii="Arial Narrow" w:hAnsi="Arial Narrow"/>
          <w:b/>
        </w:rPr>
        <w:t xml:space="preserve">no intuito de atender as necessidades urgentes decorrentes do novo </w:t>
      </w:r>
      <w:proofErr w:type="spellStart"/>
      <w:r w:rsidR="007847B0">
        <w:rPr>
          <w:rFonts w:ascii="Arial Narrow" w:hAnsi="Arial Narrow"/>
          <w:b/>
        </w:rPr>
        <w:t>coronavírus</w:t>
      </w:r>
      <w:proofErr w:type="spellEnd"/>
      <w:r w:rsidR="007847B0" w:rsidRPr="00E173BA">
        <w:rPr>
          <w:rFonts w:ascii="Arial Narrow" w:hAnsi="Arial Narrow"/>
          <w:b/>
        </w:rPr>
        <w:t xml:space="preserve"> </w:t>
      </w:r>
      <w:r w:rsidR="007847B0">
        <w:rPr>
          <w:rFonts w:ascii="Arial Narrow" w:hAnsi="Arial Narrow"/>
          <w:b/>
        </w:rPr>
        <w:t>n</w:t>
      </w:r>
      <w:r w:rsidR="007847B0" w:rsidRPr="00E173BA">
        <w:rPr>
          <w:rFonts w:ascii="Arial Narrow" w:hAnsi="Arial Narrow"/>
          <w:b/>
        </w:rPr>
        <w:t>este Município</w:t>
      </w:r>
      <w:r w:rsidRPr="006F74C1">
        <w:rPr>
          <w:rFonts w:ascii="Arial Narrow" w:hAnsi="Arial Narrow" w:cs="Arial"/>
        </w:rPr>
        <w:t>.</w:t>
      </w:r>
    </w:p>
    <w:p w14:paraId="3C0EA318" w14:textId="20AEBC14"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="003937F3" w:rsidRPr="006F74C1">
        <w:rPr>
          <w:rFonts w:ascii="Arial Narrow" w:hAnsi="Arial Narrow" w:cs="Arial"/>
        </w:rPr>
        <w:t>O ite</w:t>
      </w:r>
      <w:r w:rsidR="003937F3">
        <w:rPr>
          <w:rFonts w:ascii="Arial Narrow" w:hAnsi="Arial Narrow" w:cs="Arial"/>
        </w:rPr>
        <w:t xml:space="preserve">m </w:t>
      </w:r>
      <w:r w:rsidR="003937F3" w:rsidRPr="006F74C1">
        <w:rPr>
          <w:rFonts w:ascii="Arial Narrow" w:hAnsi="Arial Narrow" w:cs="Arial"/>
        </w:rPr>
        <w:t>adquirido tem</w:t>
      </w:r>
      <w:r w:rsidRPr="006F74C1">
        <w:rPr>
          <w:rFonts w:ascii="Arial Narrow" w:hAnsi="Arial Narrow" w:cs="Arial"/>
        </w:rPr>
        <w:t xml:space="preserve"> suas especificações, unidades, quantidades e valores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  <w:r w:rsidR="003937F3">
        <w:rPr>
          <w:rFonts w:ascii="Arial Narrow" w:hAnsi="Arial Narrow" w:cs="Arial"/>
        </w:rPr>
        <w:t xml:space="preserve"> </w:t>
      </w: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609"/>
        <w:gridCol w:w="1384"/>
        <w:gridCol w:w="695"/>
        <w:gridCol w:w="1216"/>
        <w:gridCol w:w="1564"/>
      </w:tblGrid>
      <w:tr w:rsidR="00DD611F" w14:paraId="69A2D477" w14:textId="77777777" w:rsidTr="00DD611F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0E9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EF2B" w14:textId="77777777" w:rsidR="00DD611F" w:rsidRDefault="00DD611F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B20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30AE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57D0B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R$ UNIT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AF62D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3534B5" w14:paraId="24B937F3" w14:textId="77777777" w:rsidTr="003937F3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B4F" w14:textId="7C386114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25C3" w14:textId="29E0A8B2" w:rsidR="003534B5" w:rsidRDefault="003534B5" w:rsidP="003534B5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991B78">
              <w:rPr>
                <w:rFonts w:ascii="Arial Narrow" w:hAnsi="Arial Narrow" w:cs="Calibri"/>
                <w:bCs/>
                <w:sz w:val="20"/>
                <w:szCs w:val="20"/>
              </w:rPr>
              <w:t>KIT DE VÁLVULA REGULDORA PARA OXIGÊNIO contendo (Regulador de pressão fixa, Fluxometro com capacidade de fluxo de 0 a 15l/min, Umidificador de polietileno e máscara de oxigênio adulto)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8F4C" w14:textId="4370B76C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07D7" w14:textId="472B3EA4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E2E5" w14:textId="77777777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032CE523" w14:textId="64BFF2A0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630,00</w:t>
            </w:r>
          </w:p>
          <w:p w14:paraId="16E3838C" w14:textId="5633255B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E082" w14:textId="77777777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6CAA736C" w14:textId="2E1054AF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12.600,00</w:t>
            </w:r>
          </w:p>
          <w:p w14:paraId="313A4D6E" w14:textId="77777777" w:rsidR="003534B5" w:rsidRDefault="003534B5" w:rsidP="003534B5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</w:tbl>
    <w:p w14:paraId="35FD35E1" w14:textId="1C2C94A3"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FB1F569" w14:textId="77777777"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14:paraId="29208441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5F7E738C" w14:textId="70ED7F80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t>2.1.</w:t>
      </w:r>
      <w:r w:rsidRPr="006F74C1">
        <w:rPr>
          <w:rFonts w:ascii="Arial Narrow" w:hAnsi="Arial Narrow" w:cs="Arial"/>
          <w:color w:val="000000"/>
        </w:rPr>
        <w:t xml:space="preserve"> </w:t>
      </w:r>
      <w:r w:rsidR="00BB4AD4" w:rsidRPr="00BB4AD4">
        <w:rPr>
          <w:rFonts w:ascii="Arial Narrow" w:hAnsi="Arial Narrow" w:cs="Arial"/>
          <w:color w:val="000000"/>
        </w:rPr>
        <w:t xml:space="preserve">Este Contrato encontra-se subordinado à Lei 13.979 de 06 de fevereiro de 2020, alterada pela Medida Provisória nº 926 de 20 de março de 2020, amparado a nível municipal pelo Decreto Municipal de Santa Bárbara do Pará nº 21/2020-GPFNS de 23 de março de 2020. A contratação subsidiada pela </w:t>
      </w:r>
      <w:r w:rsidR="00BB4AD4" w:rsidRPr="00BB4AD4">
        <w:rPr>
          <w:rFonts w:ascii="Arial Narrow" w:hAnsi="Arial Narrow" w:cs="Arial"/>
          <w:color w:val="000000"/>
        </w:rPr>
        <w:lastRenderedPageBreak/>
        <w:t>Lei Federal nº 8.666/93 no que couber. Seus anexos, e a proposta da contratada, constantes do processo licitatório.</w:t>
      </w:r>
      <w:bookmarkStart w:id="1" w:name="_GoBack"/>
      <w:bookmarkEnd w:id="1"/>
      <w:r w:rsidRPr="006F74C1">
        <w:rPr>
          <w:rFonts w:ascii="Arial Narrow" w:hAnsi="Arial Narrow" w:cs="Arial"/>
          <w:color w:val="000000"/>
        </w:rPr>
        <w:t xml:space="preserve"> </w:t>
      </w:r>
    </w:p>
    <w:p w14:paraId="1123BC12" w14:textId="3FB89C0D"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BB4AD4" w:rsidRPr="00BB4AD4">
        <w:rPr>
          <w:rFonts w:ascii="Arial Narrow" w:hAnsi="Arial Narrow"/>
          <w:b/>
          <w:bCs/>
        </w:rPr>
        <w:t>DISPENSA DE LICITAÇÃO 7/0072020-DL-PMSBP-FM</w:t>
      </w:r>
      <w:r w:rsidR="00BB4AD4" w:rsidRPr="00BB4AD4">
        <w:rPr>
          <w:rFonts w:ascii="Arial Narrow" w:hAnsi="Arial Narrow"/>
          <w:b/>
          <w:bCs/>
          <w:color w:val="auto"/>
        </w:rPr>
        <w:t>S</w:t>
      </w:r>
      <w:r w:rsidRPr="00BB4AD4">
        <w:rPr>
          <w:rFonts w:ascii="Arial Narrow" w:hAnsi="Arial Narrow"/>
          <w:b/>
          <w:bCs/>
          <w:color w:val="auto"/>
        </w:rPr>
        <w:t>.</w:t>
      </w:r>
    </w:p>
    <w:p w14:paraId="22F2BBD5" w14:textId="77777777"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14:paraId="551CA42F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14:paraId="46D375B1" w14:textId="77777777" w:rsidR="00BC3DC0" w:rsidRDefault="00BC3DC0" w:rsidP="003C6A5C">
      <w:pPr>
        <w:ind w:right="141"/>
        <w:jc w:val="both"/>
        <w:rPr>
          <w:rFonts w:ascii="Arial Narrow" w:hAnsi="Arial Narrow" w:cs="Arial"/>
          <w:b/>
          <w:bCs/>
        </w:rPr>
      </w:pPr>
    </w:p>
    <w:p w14:paraId="3956E03E" w14:textId="5CF696A6"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 produto dever</w:t>
      </w:r>
      <w:r w:rsidR="003937F3">
        <w:rPr>
          <w:rFonts w:ascii="Arial Narrow" w:hAnsi="Arial Narrow" w:cs="Arial"/>
        </w:rPr>
        <w:t>á</w:t>
      </w:r>
      <w:r w:rsidR="00A807CD" w:rsidRPr="00A807CD">
        <w:rPr>
          <w:rFonts w:ascii="Arial Narrow" w:hAnsi="Arial Narrow" w:cs="Arial"/>
        </w:rPr>
        <w:t xml:space="preserve"> ser entregue, conforme especificado </w:t>
      </w:r>
      <w:r w:rsidR="003937F3">
        <w:rPr>
          <w:rFonts w:ascii="Arial Narrow" w:hAnsi="Arial Narrow" w:cs="Arial"/>
        </w:rPr>
        <w:t xml:space="preserve">no </w:t>
      </w:r>
      <w:r w:rsidR="00A807CD" w:rsidRPr="00A807CD">
        <w:rPr>
          <w:rFonts w:ascii="Arial Narrow" w:hAnsi="Arial Narrow" w:cs="Arial"/>
        </w:rPr>
        <w:t>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>através do envio da Ordem de Fornecimento, no prazo máximo de 48 (quarenta e oito) horas a contar do recebimento da solicitação, para entregar o produto no local indicado o obedecendo os respectivos horários de das 08h00 às 1</w:t>
      </w:r>
      <w:r w:rsidR="0036636B">
        <w:rPr>
          <w:rFonts w:ascii="Arial Narrow" w:hAnsi="Arial Narrow" w:cs="Arial"/>
        </w:rPr>
        <w:t>8</w:t>
      </w:r>
      <w:r w:rsidR="00A807CD" w:rsidRPr="00A807CD">
        <w:rPr>
          <w:rFonts w:ascii="Arial Narrow" w:hAnsi="Arial Narrow" w:cs="Arial"/>
        </w:rPr>
        <w:t xml:space="preserve">h00. </w:t>
      </w:r>
    </w:p>
    <w:p w14:paraId="54E5754D" w14:textId="16665292"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>. Os produtos deverão entregues em perfeitas condições, atendendo ao disposto na legislação de cada produto, estabelecida pela Agencia Nacional de Vigilância Sanitária – ANVISA, e</w:t>
      </w:r>
      <w:r w:rsidR="0036636B">
        <w:rPr>
          <w:rFonts w:ascii="Arial Narrow" w:hAnsi="Arial Narrow"/>
        </w:rPr>
        <w:t>/ou</w:t>
      </w:r>
      <w:r w:rsidRPr="00A807CD">
        <w:rPr>
          <w:rFonts w:ascii="Arial Narrow" w:hAnsi="Arial Narrow"/>
        </w:rPr>
        <w:t xml:space="preserve"> pelas Autoridades Sanitárias Locais para </w:t>
      </w:r>
      <w:r w:rsidR="00335FB3">
        <w:rPr>
          <w:rFonts w:ascii="Arial Narrow" w:hAnsi="Arial Narrow"/>
        </w:rPr>
        <w:t>descrição do item</w:t>
      </w:r>
      <w:r w:rsidRPr="00A807CD">
        <w:rPr>
          <w:rFonts w:ascii="Arial Narrow" w:hAnsi="Arial Narrow"/>
        </w:rPr>
        <w:t>.</w:t>
      </w:r>
    </w:p>
    <w:p w14:paraId="01D1EF75" w14:textId="77777777"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14:paraId="6DDBFEDE" w14:textId="77777777"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14:paraId="2BCD80AA" w14:textId="77777777" w:rsidR="00BC3DC0" w:rsidRDefault="00BC3DC0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05CDC776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4269BB34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14:paraId="6D3FA2B6" w14:textId="537C75C8" w:rsidR="00A807CD" w:rsidRPr="00A807CD" w:rsidRDefault="00A807CD" w:rsidP="00A807CD">
      <w:pPr>
        <w:ind w:right="141"/>
        <w:jc w:val="both"/>
        <w:rPr>
          <w:rFonts w:ascii="Arial Narrow" w:hAnsi="Arial Narrow" w:cs="Arial"/>
          <w:sz w:val="22"/>
          <w:szCs w:val="22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</w:t>
      </w:r>
      <w:r w:rsidR="00335FB3">
        <w:rPr>
          <w:rFonts w:ascii="Arial Narrow" w:hAnsi="Arial Narrow" w:cs="Arial"/>
        </w:rPr>
        <w:t>Contrato</w:t>
      </w:r>
      <w:r w:rsidRPr="00A807CD">
        <w:rPr>
          <w:rFonts w:ascii="Arial Narrow" w:hAnsi="Arial Narrow" w:cs="Arial"/>
        </w:rPr>
        <w:t>.</w:t>
      </w:r>
    </w:p>
    <w:p w14:paraId="3D5224BE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14:paraId="135853FC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3E9A9E8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14:paraId="4CC13CF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C4BF2D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</w:p>
    <w:p w14:paraId="78AF332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Arcar com todos os ônus de transportes e fretes necessários;</w:t>
      </w:r>
    </w:p>
    <w:p w14:paraId="74499F2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476C7D0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14:paraId="280657B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6606C0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14:paraId="0C1C891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3DC3A3E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14:paraId="1572998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87878A7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14:paraId="70B989B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8E60728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14:paraId="4BAD47C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51A834C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4.1.9</w:t>
      </w:r>
      <w:r w:rsidRPr="00A807CD">
        <w:rPr>
          <w:rFonts w:ascii="Arial Narrow" w:hAnsi="Arial Narrow" w:cs="Arial"/>
        </w:rPr>
        <w:t>. Demais obrigações e responsabilidades previstas pela Lei Federal nº 8.666/93 e demais legislações pertinentes.</w:t>
      </w:r>
    </w:p>
    <w:p w14:paraId="3CFD7DB3" w14:textId="77777777"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14:paraId="63CC19D6" w14:textId="77777777"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2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28081078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586C8A6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14:paraId="5705B3A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0CB118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Pr="00A807CD">
        <w:rPr>
          <w:rFonts w:ascii="Arial Narrow" w:hAnsi="Arial Narrow" w:cs="Arial"/>
        </w:rPr>
        <w:t xml:space="preserve"> Prestar as informações e os esclarecimentos solicitados pelo CONTRATADO para a fiel execução do contrato;</w:t>
      </w:r>
    </w:p>
    <w:p w14:paraId="596B1591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C27531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14:paraId="0BAC478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B41686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14:paraId="474F072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45BD685" w14:textId="5FF5DE88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="00335FB3">
        <w:rPr>
          <w:rFonts w:ascii="Arial Narrow" w:hAnsi="Arial Narrow" w:cs="Arial"/>
          <w:b/>
          <w:bCs/>
        </w:rPr>
        <w:t>5</w:t>
      </w:r>
      <w:r w:rsidRPr="00A807CD">
        <w:rPr>
          <w:rFonts w:ascii="Arial Narrow" w:hAnsi="Arial Narrow" w:cs="Arial"/>
        </w:rPr>
        <w:t xml:space="preserve"> Notificar, formal e tempestivamente, a CONTRATADA sobre irregularidades observadas nos produtos fornecidos;</w:t>
      </w:r>
    </w:p>
    <w:p w14:paraId="224160C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07EA02D8" w14:textId="6A7CBD9C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6</w:t>
      </w:r>
      <w:r w:rsidRPr="00A807CD">
        <w:rPr>
          <w:rFonts w:ascii="Arial Narrow" w:hAnsi="Arial Narrow" w:cs="Arial"/>
        </w:rPr>
        <w:t>. Disponibilizar todas as informações necessárias para a correta execução do objeto.</w:t>
      </w:r>
      <w:r w:rsidR="0036636B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Efetuar os pagamentos à CONTRATADA, na forma estabelecida no contrato;</w:t>
      </w:r>
    </w:p>
    <w:p w14:paraId="377BC53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249203A" w14:textId="352C6180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7</w:t>
      </w:r>
      <w:r w:rsidRPr="00A807CD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2"/>
    </w:p>
    <w:p w14:paraId="6A661DB8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A8F1513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14:paraId="0E287610" w14:textId="77777777" w:rsidR="00BC3DC0" w:rsidRDefault="00BC3DC0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145F677" w14:textId="77777777"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14:paraId="340D04FA" w14:textId="77777777"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284CB2D" w14:textId="77777777"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A807CD">
        <w:rPr>
          <w:rFonts w:ascii="Arial Narrow" w:hAnsi="Arial Narrow" w:cs="Arial"/>
          <w:b/>
          <w:color w:val="000000"/>
        </w:rPr>
        <w:t>31/12/2020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14:paraId="6B736DD0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648B721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14:paraId="6EA63C7C" w14:textId="77777777" w:rsidR="00BC3DC0" w:rsidRDefault="00BC3DC0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7A6B5688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14:paraId="02E3986B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 xml:space="preserve">por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14:paraId="705B01D5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 xml:space="preserve">l, por acordo entre as partes, reduzido a termo no processo respectivo, desde que haja conveniência para a Administração; </w:t>
      </w:r>
    </w:p>
    <w:p w14:paraId="6E6234BA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14:paraId="488DA726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14:paraId="7D524613" w14:textId="77777777"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não indenizará a (s) </w:t>
      </w:r>
      <w:r w:rsidRPr="004868EF">
        <w:rPr>
          <w:rFonts w:ascii="Arial Narrow" w:hAnsi="Arial Narrow" w:cs="Arial"/>
          <w:bCs/>
          <w:color w:val="000000"/>
        </w:rPr>
        <w:t>Contratada (</w:t>
      </w:r>
      <w:r w:rsidRPr="004868EF">
        <w:rPr>
          <w:rFonts w:ascii="Arial Narrow" w:hAnsi="Arial Narrow" w:cs="Arial"/>
          <w:color w:val="000000"/>
        </w:rPr>
        <w:t xml:space="preserve">s), salvo pelos fornecimentos executados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14:paraId="58574EF9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14:paraId="287D7AE7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14:paraId="70E0BE97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78FC9C6A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a defesa prévia, aplicar à (s) Contratada (s) as seguintes sanções: </w:t>
      </w:r>
    </w:p>
    <w:p w14:paraId="0E098E9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r w:rsidRPr="004868EF">
        <w:rPr>
          <w:rFonts w:ascii="Arial Narrow" w:hAnsi="Arial Narrow" w:cs="Arial"/>
          <w:b/>
          <w:color w:val="000000"/>
        </w:rPr>
        <w:t>advertência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14:paraId="1FAEEE2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r w:rsidRPr="004868EF">
        <w:rPr>
          <w:rFonts w:ascii="Arial Narrow" w:hAnsi="Arial Narrow" w:cs="Arial"/>
          <w:b/>
          <w:color w:val="000000"/>
        </w:rPr>
        <w:t>multa</w:t>
      </w:r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14:paraId="14F203DD" w14:textId="181A3B06" w:rsidR="00D77A28" w:rsidRPr="004868EF" w:rsidRDefault="00D77A28" w:rsidP="00335FB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14:paraId="238AFEA4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14:paraId="2657ACC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14:paraId="0C8B0D0E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4D809A9E" w14:textId="77777777"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r w:rsidRPr="006F74C1">
        <w:rPr>
          <w:rFonts w:ascii="Arial Narrow" w:hAnsi="Arial Narrow" w:cs="Arial"/>
          <w:b/>
          <w:color w:val="000000"/>
        </w:rPr>
        <w:t>declaração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14:paraId="59B872A4" w14:textId="77777777"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14:paraId="1412F63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14:paraId="367C6064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5C8AAFF2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>O pagamento será feito de acordo com os recursos disponíveis, após o atesto da Nota Fiscal. Que serão devidamente atestadas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14:paraId="4F8CCC0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 xml:space="preserve">A nota fiscal/fatura deverá ser emitida pela (s) própria (s) Contratada (s), obrigatoriamente com o número de inscrição no CNPJ apresentado nos documentos de habilitação e das propostas, não se admitindo notas fiscais/faturas com outros CNPJ, mesmo aqueles de filiais ou da matriz; </w:t>
      </w:r>
    </w:p>
    <w:p w14:paraId="677BFEB5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1AE7619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14:paraId="3998812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a mesma não estiver em dias com suas regularidades fiscal e trabalhista. </w:t>
      </w:r>
    </w:p>
    <w:p w14:paraId="2AA07D95" w14:textId="77777777"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9FE759F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14:paraId="61F35350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ED01C3F" w14:textId="4FB03571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O valor total </w:t>
      </w:r>
      <w:proofErr w:type="gramStart"/>
      <w:r w:rsidRPr="006F74C1">
        <w:rPr>
          <w:rFonts w:ascii="Arial Narrow" w:hAnsi="Arial Narrow" w:cs="Arial"/>
          <w:color w:val="000000"/>
        </w:rPr>
        <w:t>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presente</w:t>
      </w:r>
      <w:proofErr w:type="gramEnd"/>
      <w:r w:rsidRPr="006F74C1">
        <w:rPr>
          <w:rFonts w:ascii="Arial Narrow" w:hAnsi="Arial Narrow" w:cs="Arial"/>
          <w:color w:val="000000"/>
        </w:rPr>
        <w:t xml:space="preserve"> avença é de </w:t>
      </w:r>
      <w:r w:rsidR="005952DD" w:rsidRPr="005952DD">
        <w:rPr>
          <w:rFonts w:ascii="Arial Narrow" w:hAnsi="Arial Narrow" w:cs="Arial"/>
          <w:b/>
          <w:color w:val="000000"/>
        </w:rPr>
        <w:t xml:space="preserve">R$ </w:t>
      </w:r>
      <w:r w:rsidR="003534B5">
        <w:rPr>
          <w:rFonts w:ascii="Arial Narrow" w:hAnsi="Arial Narrow" w:cs="Arial"/>
          <w:b/>
          <w:color w:val="000000"/>
        </w:rPr>
        <w:t>12</w:t>
      </w:r>
      <w:r w:rsidR="003937F3">
        <w:rPr>
          <w:rFonts w:ascii="Arial Narrow" w:hAnsi="Arial Narrow" w:cs="Arial"/>
          <w:b/>
          <w:color w:val="000000"/>
        </w:rPr>
        <w:t>.</w:t>
      </w:r>
      <w:r w:rsidR="003534B5">
        <w:rPr>
          <w:rFonts w:ascii="Arial Narrow" w:hAnsi="Arial Narrow" w:cs="Arial"/>
          <w:b/>
          <w:color w:val="000000"/>
        </w:rPr>
        <w:t>6</w:t>
      </w:r>
      <w:r w:rsidR="003937F3">
        <w:rPr>
          <w:rFonts w:ascii="Arial Narrow" w:hAnsi="Arial Narrow" w:cs="Arial"/>
          <w:b/>
          <w:color w:val="000000"/>
        </w:rPr>
        <w:t>00,00</w:t>
      </w:r>
      <w:r w:rsidR="005952DD" w:rsidRPr="005952DD">
        <w:rPr>
          <w:rFonts w:ascii="Arial Narrow" w:hAnsi="Arial Narrow" w:cs="Arial"/>
          <w:color w:val="000000"/>
        </w:rPr>
        <w:t xml:space="preserve"> </w:t>
      </w:r>
      <w:r w:rsidR="005952DD" w:rsidRPr="00BB4AD4">
        <w:rPr>
          <w:rFonts w:ascii="Arial Narrow" w:hAnsi="Arial Narrow" w:cs="Arial"/>
          <w:b/>
          <w:color w:val="000000"/>
        </w:rPr>
        <w:t>(</w:t>
      </w:r>
      <w:r w:rsidR="003534B5" w:rsidRPr="00BB4AD4">
        <w:rPr>
          <w:rFonts w:ascii="Arial Narrow" w:hAnsi="Arial Narrow" w:cs="Arial"/>
          <w:b/>
          <w:color w:val="000000"/>
        </w:rPr>
        <w:t>Doze mil e seiscentos</w:t>
      </w:r>
      <w:r w:rsidR="003937F3" w:rsidRPr="00BB4AD4">
        <w:rPr>
          <w:rFonts w:ascii="Arial Narrow" w:hAnsi="Arial Narrow" w:cs="Arial"/>
          <w:b/>
          <w:color w:val="000000"/>
        </w:rPr>
        <w:t xml:space="preserve"> reais</w:t>
      </w:r>
      <w:r w:rsidR="005952DD" w:rsidRPr="00BB4AD4">
        <w:rPr>
          <w:rFonts w:ascii="Arial Narrow" w:hAnsi="Arial Narrow" w:cs="Arial"/>
          <w:b/>
          <w:color w:val="000000"/>
        </w:rPr>
        <w:t>),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a ser pago de forma proporcional, conforme autorizações expedidas pela Administração e de conformidade com as notas fiscais/faturas e/ou recibos da proposta adjudicada. </w:t>
      </w:r>
    </w:p>
    <w:p w14:paraId="20D884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2D54F7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14:paraId="2FB98B3C" w14:textId="77777777" w:rsidR="00BC3DC0" w:rsidRDefault="00BC3DC0" w:rsidP="00527CFA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7C1F41BA" w14:textId="77777777"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14:paraId="562980F8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14:paraId="11458270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 recebimento das Notas Fiscais/Faturas, como também, realizar a devida conferência, para verificar se está em conformidade com as especificações do Termo de Referência; </w:t>
      </w:r>
    </w:p>
    <w:p w14:paraId="32A9BC15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 anotações em registro próprio, de todas as ocorrências relacionadas com a execução do Contrato, determinando o que for necessário à regularização das faltas ou defeitos observados; </w:t>
      </w:r>
    </w:p>
    <w:p w14:paraId="34A150B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 decisões e providências que ultrapassarem a competência do representante deverão ser solicitadas a seus superiores em tempo hábil para a adoção das medidas convenientes. </w:t>
      </w:r>
    </w:p>
    <w:p w14:paraId="2BA243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r w:rsidRPr="006F74C1">
        <w:rPr>
          <w:rFonts w:ascii="Arial Narrow" w:hAnsi="Arial Narrow" w:cs="Arial"/>
          <w:color w:val="000000"/>
        </w:rPr>
        <w:t>co</w:t>
      </w:r>
      <w:proofErr w:type="spellEnd"/>
      <w:r w:rsidRPr="006F74C1">
        <w:rPr>
          <w:rFonts w:ascii="Arial Narrow" w:hAnsi="Arial Narrow" w:cs="Arial"/>
          <w:color w:val="000000"/>
        </w:rPr>
        <w:t xml:space="preserve"> responsabilidade da Administração ou de seus agentes e prepostos, de conformidade com o art. 70 da Lei nº 8.666, de 1993. </w:t>
      </w:r>
    </w:p>
    <w:p w14:paraId="0AF95A71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B0F6324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14:paraId="385B177F" w14:textId="77777777" w:rsidR="00BC3DC0" w:rsidRDefault="00BC3DC0" w:rsidP="00D77A28">
      <w:pPr>
        <w:jc w:val="both"/>
        <w:rPr>
          <w:rFonts w:ascii="Arial Narrow" w:hAnsi="Arial Narrow" w:cs="Arial"/>
          <w:b/>
        </w:rPr>
      </w:pPr>
    </w:p>
    <w:p w14:paraId="19A13E8D" w14:textId="77777777"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14:paraId="59E971C6" w14:textId="77777777" w:rsidR="00D77A28" w:rsidRPr="006F74C1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6BBEAEDD" w14:textId="77777777"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14:paraId="0D4750BF" w14:textId="77777777"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14:paraId="03F157A1" w14:textId="77777777" w:rsidR="00EA7859" w:rsidRPr="00EA7859" w:rsidRDefault="005952DD" w:rsidP="00EA7859">
      <w:pPr>
        <w:pStyle w:val="Default"/>
        <w:ind w:left="720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t>ÓRGÃO: FUNDO MUNICIPAL DE SAÚDE</w:t>
      </w:r>
    </w:p>
    <w:p w14:paraId="5CBB5D5B" w14:textId="77777777" w:rsidR="00EA7859" w:rsidRPr="00EA7859" w:rsidRDefault="00EA7859" w:rsidP="00EA7859">
      <w:pPr>
        <w:pStyle w:val="Default"/>
        <w:ind w:left="720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14:paraId="1AF949CC" w14:textId="77777777" w:rsidR="00EA7859" w:rsidRPr="00EA7859" w:rsidRDefault="00EA7859" w:rsidP="00EA7859">
      <w:pPr>
        <w:pStyle w:val="Default"/>
        <w:ind w:left="720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 xml:space="preserve">Projeto/Atividade: 10.301.0015.2.117 – Ação </w:t>
      </w:r>
      <w:proofErr w:type="spellStart"/>
      <w:r w:rsidRPr="00EA7859">
        <w:rPr>
          <w:rFonts w:ascii="Arial Narrow" w:hAnsi="Arial Narrow"/>
        </w:rPr>
        <w:t>Enfrent</w:t>
      </w:r>
      <w:proofErr w:type="spellEnd"/>
      <w:r w:rsidRPr="00EA7859">
        <w:rPr>
          <w:rFonts w:ascii="Arial Narrow" w:hAnsi="Arial Narrow"/>
        </w:rPr>
        <w:t xml:space="preserve">. </w:t>
      </w:r>
      <w:proofErr w:type="spellStart"/>
      <w:r w:rsidRPr="00EA7859">
        <w:rPr>
          <w:rFonts w:ascii="Arial Narrow" w:hAnsi="Arial Narrow"/>
        </w:rPr>
        <w:t>Emerg</w:t>
      </w:r>
      <w:proofErr w:type="spellEnd"/>
      <w:r w:rsidRPr="00EA7859">
        <w:rPr>
          <w:rFonts w:ascii="Arial Narrow" w:hAnsi="Arial Narrow"/>
        </w:rPr>
        <w:t xml:space="preserve">. Saúde Pub. </w:t>
      </w:r>
      <w:proofErr w:type="spellStart"/>
      <w:r w:rsidRPr="00EA7859">
        <w:rPr>
          <w:rFonts w:ascii="Arial Narrow" w:hAnsi="Arial Narrow"/>
        </w:rPr>
        <w:t>Decorr</w:t>
      </w:r>
      <w:proofErr w:type="spellEnd"/>
      <w:r w:rsidRPr="00EA785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 xml:space="preserve">o Coronavírus (COVID 19). </w:t>
      </w:r>
    </w:p>
    <w:p w14:paraId="6890D380" w14:textId="56590947" w:rsidR="00D77A28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EA7859">
        <w:rPr>
          <w:rFonts w:ascii="Arial Narrow" w:hAnsi="Arial Narrow"/>
        </w:rPr>
        <w:t>Elemento de Despesa: 3.3.90.</w:t>
      </w:r>
      <w:r w:rsidR="0036636B">
        <w:rPr>
          <w:rFonts w:ascii="Arial Narrow" w:hAnsi="Arial Narrow"/>
        </w:rPr>
        <w:t>52</w:t>
      </w:r>
      <w:r w:rsidRPr="00EA7859">
        <w:rPr>
          <w:rFonts w:ascii="Arial Narrow" w:hAnsi="Arial Narrow"/>
        </w:rPr>
        <w:t xml:space="preserve"> – </w:t>
      </w:r>
      <w:r w:rsidR="0036636B">
        <w:rPr>
          <w:rFonts w:ascii="Arial Narrow" w:hAnsi="Arial Narrow"/>
        </w:rPr>
        <w:t>Equi</w:t>
      </w:r>
      <w:r w:rsidR="00C84EC6">
        <w:rPr>
          <w:rFonts w:ascii="Arial Narrow" w:hAnsi="Arial Narrow"/>
        </w:rPr>
        <w:t>pamento e material permanente</w:t>
      </w:r>
    </w:p>
    <w:p w14:paraId="170EBEC7" w14:textId="77777777" w:rsidR="00EA7859" w:rsidRP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14:paraId="2BB993A3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DÉCIMA SEGUNDA – DAS ALTERAÇÕES CONTRATUAIS</w:t>
      </w:r>
    </w:p>
    <w:p w14:paraId="0961A8AA" w14:textId="77777777" w:rsidR="00BC3DC0" w:rsidRDefault="00BC3DC0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02902A13" w14:textId="77777777"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14:paraId="6FAAC3BC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14:paraId="05240348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houver modificação das especificações, para melhor adequação dos seus objetivos; </w:t>
      </w:r>
    </w:p>
    <w:p w14:paraId="519E8EA3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do valor contratual em decorrência de acréscimo ou diminuição quantitativa de seu objeto, nos limites permitidos por lei; </w:t>
      </w:r>
    </w:p>
    <w:p w14:paraId="4AD2E6DE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14:paraId="17EFC2D2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necessária a modificação da execução das entregas ou do modo de fornecimento, em face de verificação técnica da inaplicabilidade dos termos contratuais originários; </w:t>
      </w:r>
    </w:p>
    <w:p w14:paraId="6411A28A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14:paraId="13958770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 xml:space="preserve">Nas hipóteses excepcionais da revisão de preços, que serão tratados de acordo com a legislação vigente e exigirão detida análise econômica para a avaliação de eventual desequilíbrio econômico–financeiro do Contrato. </w:t>
      </w:r>
    </w:p>
    <w:p w14:paraId="6A799E7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14:paraId="56C11FB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9EA52D9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14:paraId="3D791E7B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6A9331B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14:paraId="2BE836CB" w14:textId="77777777"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14:paraId="068ACB63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14:paraId="15A94CF0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AF960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14:paraId="6C09AC09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A19B9F9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14:paraId="5800641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20CB002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14:paraId="5BC8F48C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75A85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14:paraId="76AF875B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46E8B860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FORMALIDADES</w:t>
      </w:r>
    </w:p>
    <w:p w14:paraId="68F620B3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5516D76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14:paraId="5FE11A10" w14:textId="30C5CE79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novação ou precedente. </w:t>
      </w:r>
    </w:p>
    <w:p w14:paraId="59B1BB9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14:paraId="12777424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14:paraId="0BAF577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haverem as partes, entre si, ajustado e contratado, é lavrado o presente termo, em 03 (três) vias de igual teor, o qual, depois de lido e achado conforme, é assinado pelas partes contratantes e pelas testemunhas abaixo. </w:t>
      </w:r>
    </w:p>
    <w:p w14:paraId="1824FBD3" w14:textId="77777777" w:rsidR="00D21CD1" w:rsidRDefault="00D21CD1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14:paraId="60BAD6D4" w14:textId="3F40C2EE" w:rsidR="005952DD" w:rsidRPr="00E804C8" w:rsidRDefault="005952DD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SANTA BÁRBARA DO PARÁ, </w:t>
      </w:r>
      <w:r w:rsidR="00BB4AD4">
        <w:rPr>
          <w:rFonts w:ascii="Arial Narrow" w:hAnsi="Arial Narrow" w:cs="Arial"/>
          <w:color w:val="000000"/>
        </w:rPr>
        <w:t>30</w:t>
      </w:r>
      <w:r>
        <w:rPr>
          <w:rFonts w:ascii="Arial Narrow" w:hAnsi="Arial Narrow" w:cs="Arial"/>
          <w:color w:val="000000"/>
        </w:rPr>
        <w:t xml:space="preserve"> d</w:t>
      </w:r>
      <w:r w:rsidRPr="00E804C8">
        <w:rPr>
          <w:rFonts w:ascii="Arial Narrow" w:hAnsi="Arial Narrow" w:cs="Arial"/>
          <w:color w:val="000000"/>
        </w:rPr>
        <w:t xml:space="preserve">e </w:t>
      </w:r>
      <w:r w:rsidR="00BB4AD4">
        <w:rPr>
          <w:rFonts w:ascii="Arial Narrow" w:hAnsi="Arial Narrow" w:cs="Arial"/>
          <w:color w:val="000000"/>
        </w:rPr>
        <w:t>abril</w:t>
      </w:r>
      <w:r w:rsidRPr="00E804C8">
        <w:rPr>
          <w:rFonts w:ascii="Arial Narrow" w:hAnsi="Arial Narrow" w:cs="Arial"/>
          <w:color w:val="000000"/>
        </w:rPr>
        <w:t xml:space="preserve"> de 20</w:t>
      </w:r>
      <w:r>
        <w:rPr>
          <w:rFonts w:ascii="Arial Narrow" w:hAnsi="Arial Narrow" w:cs="Arial"/>
          <w:color w:val="000000"/>
        </w:rPr>
        <w:t>20</w:t>
      </w:r>
      <w:r w:rsidRPr="00E804C8">
        <w:rPr>
          <w:rFonts w:ascii="Arial Narrow" w:hAnsi="Arial Narrow" w:cs="Arial"/>
          <w:color w:val="000000"/>
        </w:rPr>
        <w:t>.</w:t>
      </w:r>
      <w:r w:rsidRPr="00E804C8">
        <w:rPr>
          <w:rFonts w:ascii="Arial Narrow" w:hAnsi="Arial Narrow"/>
          <w:color w:val="000000"/>
        </w:rPr>
        <w:t xml:space="preserve"> </w:t>
      </w:r>
    </w:p>
    <w:p w14:paraId="28F6D32B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200FE62D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1CFDFFC0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7493374" w14:textId="77777777" w:rsidR="005952DD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4B0097">
        <w:rPr>
          <w:rFonts w:ascii="Arial Narrow" w:hAnsi="Arial Narrow" w:cs="Tahoma"/>
          <w:b/>
          <w:iCs/>
        </w:rPr>
        <w:t xml:space="preserve">FUNDO MUNICIPAL DE SAÚDE </w:t>
      </w:r>
    </w:p>
    <w:p w14:paraId="2E47C6A7" w14:textId="77777777" w:rsidR="005952DD" w:rsidRPr="00E804C8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804C8">
        <w:rPr>
          <w:rFonts w:ascii="Arial Narrow" w:hAnsi="Arial Narrow" w:cs="Tahoma"/>
          <w:b/>
          <w:iCs/>
        </w:rPr>
        <w:t xml:space="preserve">CNPJ: </w:t>
      </w:r>
      <w:r w:rsidRPr="004B0097">
        <w:rPr>
          <w:rFonts w:ascii="Arial Narrow" w:hAnsi="Arial Narrow" w:cs="Arial"/>
          <w:b/>
          <w:iCs/>
        </w:rPr>
        <w:t>17.860.920/0001-82</w:t>
      </w:r>
    </w:p>
    <w:p w14:paraId="129CC286" w14:textId="77777777" w:rsidR="00BA5C9C" w:rsidRDefault="00BA5C9C" w:rsidP="005952DD">
      <w:pPr>
        <w:ind w:left="-426" w:right="-285"/>
        <w:jc w:val="center"/>
        <w:rPr>
          <w:rFonts w:ascii="Arial Narrow" w:hAnsi="Arial Narrow"/>
          <w:b/>
        </w:rPr>
      </w:pPr>
      <w:r w:rsidRPr="00BA5C9C">
        <w:rPr>
          <w:rFonts w:ascii="Arial Narrow" w:hAnsi="Arial Narrow"/>
          <w:b/>
        </w:rPr>
        <w:t xml:space="preserve">Maria da Graça do Nascimento Melo </w:t>
      </w:r>
    </w:p>
    <w:p w14:paraId="22DF3798" w14:textId="77777777" w:rsidR="005952DD" w:rsidRPr="00E804C8" w:rsidRDefault="005952DD" w:rsidP="005952DD">
      <w:pPr>
        <w:ind w:left="-426" w:right="-285"/>
        <w:jc w:val="center"/>
        <w:rPr>
          <w:rFonts w:ascii="Arial Narrow" w:hAnsi="Arial Narrow"/>
          <w:b/>
        </w:rPr>
      </w:pPr>
      <w:r w:rsidRPr="00E804C8">
        <w:rPr>
          <w:rFonts w:ascii="Arial Narrow" w:hAnsi="Arial Narrow"/>
          <w:b/>
        </w:rPr>
        <w:t xml:space="preserve">CPF: </w:t>
      </w:r>
      <w:r w:rsidR="00BA5C9C" w:rsidRPr="00BA5C9C">
        <w:rPr>
          <w:rFonts w:ascii="Arial Narrow" w:hAnsi="Arial Narrow"/>
          <w:b/>
        </w:rPr>
        <w:t>028.969.742-53</w:t>
      </w:r>
    </w:p>
    <w:p w14:paraId="68647C70" w14:textId="77777777" w:rsidR="005952DD" w:rsidRPr="00E804C8" w:rsidRDefault="005952DD" w:rsidP="005952DD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804C8">
        <w:rPr>
          <w:rFonts w:ascii="Arial Narrow" w:hAnsi="Arial Narrow" w:cs="Tahoma"/>
        </w:rPr>
        <w:t>CONTRATANTE</w:t>
      </w:r>
    </w:p>
    <w:p w14:paraId="062899CC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EA0CA66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9819A19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C019243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435504BB" w14:textId="2D95BAFA" w:rsidR="005952DD" w:rsidRDefault="003534B5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>
        <w:rPr>
          <w:rFonts w:ascii="Arial Narrow" w:hAnsi="Arial Narrow" w:cs="Arial"/>
          <w:b/>
          <w:bCs/>
          <w:color w:val="000000"/>
          <w:szCs w:val="23"/>
        </w:rPr>
        <w:t>J CARDOSO FILHO COMÉRCIO E SERVIÇOS EPP</w:t>
      </w:r>
    </w:p>
    <w:p w14:paraId="2FA36575" w14:textId="6E9D6A22" w:rsidR="005952DD" w:rsidRDefault="00D21CD1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 w:rsidRPr="00D21CD1">
        <w:rPr>
          <w:rFonts w:ascii="Arial Narrow" w:hAnsi="Arial Narrow" w:cs="Arial"/>
          <w:b/>
          <w:bCs/>
          <w:color w:val="000000"/>
          <w:szCs w:val="23"/>
        </w:rPr>
        <w:t xml:space="preserve">CNPJ n° </w:t>
      </w:r>
      <w:r w:rsidR="003534B5">
        <w:rPr>
          <w:rFonts w:ascii="Arial Narrow" w:hAnsi="Arial Narrow" w:cs="Arial"/>
          <w:b/>
          <w:bCs/>
          <w:color w:val="000000"/>
          <w:szCs w:val="23"/>
        </w:rPr>
        <w:t>10.243.376/0001-80</w:t>
      </w:r>
    </w:p>
    <w:p w14:paraId="3356C707" w14:textId="1CD88C93" w:rsidR="00D21CD1" w:rsidRDefault="003534B5" w:rsidP="00D21CD1">
      <w:pPr>
        <w:ind w:left="-426" w:right="-28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Ailton </w:t>
      </w:r>
      <w:proofErr w:type="spellStart"/>
      <w:r>
        <w:rPr>
          <w:rFonts w:ascii="Arial Narrow" w:hAnsi="Arial Narrow"/>
          <w:b/>
        </w:rPr>
        <w:t>Alionardo</w:t>
      </w:r>
      <w:proofErr w:type="spellEnd"/>
      <w:r>
        <w:rPr>
          <w:rFonts w:ascii="Arial Narrow" w:hAnsi="Arial Narrow"/>
          <w:b/>
        </w:rPr>
        <w:t xml:space="preserve"> de Carvalho</w:t>
      </w:r>
      <w:r w:rsidR="00D21CD1" w:rsidRPr="00BA5C9C">
        <w:rPr>
          <w:rFonts w:ascii="Arial Narrow" w:hAnsi="Arial Narrow"/>
          <w:b/>
        </w:rPr>
        <w:t xml:space="preserve"> </w:t>
      </w:r>
    </w:p>
    <w:p w14:paraId="3F04B9C0" w14:textId="24DD715E" w:rsidR="00D21CD1" w:rsidRPr="004F06C1" w:rsidRDefault="00D21CD1" w:rsidP="00D21CD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Cs w:val="23"/>
        </w:rPr>
      </w:pPr>
      <w:r w:rsidRPr="00E804C8">
        <w:rPr>
          <w:rFonts w:ascii="Arial Narrow" w:hAnsi="Arial Narrow"/>
          <w:b/>
        </w:rPr>
        <w:t xml:space="preserve">CPF: </w:t>
      </w:r>
      <w:r w:rsidR="003534B5">
        <w:rPr>
          <w:rFonts w:ascii="Arial Narrow" w:hAnsi="Arial Narrow"/>
          <w:b/>
        </w:rPr>
        <w:t>381.140.972-72</w:t>
      </w:r>
    </w:p>
    <w:p w14:paraId="2A780615" w14:textId="77777777" w:rsidR="005952DD" w:rsidRPr="004F06C1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</w:rPr>
      </w:pPr>
      <w:r w:rsidRPr="004F06C1">
        <w:rPr>
          <w:rFonts w:ascii="Arial Narrow" w:hAnsi="Arial Narrow"/>
          <w:bCs/>
          <w:szCs w:val="23"/>
        </w:rPr>
        <w:t>CONTRATADA</w:t>
      </w:r>
    </w:p>
    <w:p w14:paraId="3C5C7E52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66E86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14:paraId="5DEF993A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4A3907F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1.___________________________________________________ </w:t>
      </w:r>
    </w:p>
    <w:p w14:paraId="41EB5C3C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7D3E4CA0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</w:p>
    <w:p w14:paraId="5A0E865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A45A1E1" w14:textId="77777777"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C603DD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2.___________________________________________________ </w:t>
      </w:r>
    </w:p>
    <w:p w14:paraId="7331E3F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5C0403D3" w14:textId="77777777" w:rsidR="001473FD" w:rsidRPr="006F74C1" w:rsidRDefault="005952DD" w:rsidP="00BC3DC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804C8">
        <w:rPr>
          <w:rFonts w:ascii="Arial Narrow" w:hAnsi="Arial Narrow" w:cs="Arial"/>
          <w:color w:val="000000"/>
        </w:rPr>
        <w:t>CPF:</w:t>
      </w:r>
    </w:p>
    <w:sectPr w:rsidR="001473FD" w:rsidRPr="006F74C1" w:rsidSect="005952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99C2" w14:textId="77777777" w:rsidR="00484989" w:rsidRDefault="00484989">
      <w:r>
        <w:separator/>
      </w:r>
    </w:p>
  </w:endnote>
  <w:endnote w:type="continuationSeparator" w:id="0">
    <w:p w14:paraId="2CF1F140" w14:textId="77777777" w:rsidR="00484989" w:rsidRDefault="004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8961" w14:textId="77777777"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14:paraId="309F393D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</w:t>
    </w:r>
    <w:proofErr w:type="spellStart"/>
    <w:r w:rsidRPr="00A40FD4">
      <w:rPr>
        <w:sz w:val="22"/>
      </w:rPr>
      <w:t>Pará</w:t>
    </w:r>
    <w:proofErr w:type="spellEnd"/>
    <w:r w:rsidRPr="00A40FD4">
      <w:rPr>
        <w:sz w:val="22"/>
      </w:rPr>
      <w:t xml:space="preserve">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14:paraId="67639B52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74FC" w14:textId="77777777" w:rsidR="00484989" w:rsidRDefault="00484989">
      <w:r>
        <w:separator/>
      </w:r>
    </w:p>
  </w:footnote>
  <w:footnote w:type="continuationSeparator" w:id="0">
    <w:p w14:paraId="3BD270B9" w14:textId="77777777" w:rsidR="00484989" w:rsidRDefault="0048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2DB5" w14:textId="77777777" w:rsidR="0001348F" w:rsidRDefault="00484989">
    <w:pPr>
      <w:pStyle w:val="Cabealho"/>
    </w:pPr>
    <w:r>
      <w:rPr>
        <w:noProof/>
      </w:rPr>
      <w:pict w14:anchorId="0628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239D" w14:textId="77777777"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5AAEA2A3" wp14:editId="78A24012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0380F239" wp14:editId="04D9159B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14:paraId="05CFF7F5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14:paraId="16683524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14:paraId="36CB7654" w14:textId="77777777"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626E" w14:textId="77777777" w:rsidR="0001348F" w:rsidRDefault="00484989">
    <w:pPr>
      <w:pStyle w:val="Cabealho"/>
    </w:pPr>
    <w:r>
      <w:rPr>
        <w:noProof/>
      </w:rPr>
      <w:pict w14:anchorId="171E8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6"/>
  </w:num>
  <w:num w:numId="13">
    <w:abstractNumId w:val="2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58B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693"/>
    <w:rsid w:val="001077EF"/>
    <w:rsid w:val="001119FA"/>
    <w:rsid w:val="0011228F"/>
    <w:rsid w:val="0011390C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1F00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5FB3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51933"/>
    <w:rsid w:val="00351EFD"/>
    <w:rsid w:val="00352382"/>
    <w:rsid w:val="00352BBC"/>
    <w:rsid w:val="00352CBC"/>
    <w:rsid w:val="003534B5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08CA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636B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7F3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989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44F9"/>
    <w:rsid w:val="00564AEF"/>
    <w:rsid w:val="00564BD6"/>
    <w:rsid w:val="00564DFD"/>
    <w:rsid w:val="00565D31"/>
    <w:rsid w:val="00566206"/>
    <w:rsid w:val="005668E2"/>
    <w:rsid w:val="005670A1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C4C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6AB6"/>
    <w:rsid w:val="0069779B"/>
    <w:rsid w:val="006A062A"/>
    <w:rsid w:val="006A11D0"/>
    <w:rsid w:val="006A15FB"/>
    <w:rsid w:val="006A2217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332E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B0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33EF"/>
    <w:rsid w:val="007F37F4"/>
    <w:rsid w:val="007F3BF0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48DE"/>
    <w:rsid w:val="008059C0"/>
    <w:rsid w:val="00805BFA"/>
    <w:rsid w:val="0080749F"/>
    <w:rsid w:val="008103BE"/>
    <w:rsid w:val="00810C50"/>
    <w:rsid w:val="00811B73"/>
    <w:rsid w:val="00813A2A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565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1E20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4AD4"/>
    <w:rsid w:val="00BB604A"/>
    <w:rsid w:val="00BB7839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36A"/>
    <w:rsid w:val="00C84EC6"/>
    <w:rsid w:val="00C85C3F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156E"/>
    <w:rsid w:val="00CD18F1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077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CD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03AE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CA7"/>
    <w:rsid w:val="00ED5541"/>
    <w:rsid w:val="00ED5E9E"/>
    <w:rsid w:val="00ED63B5"/>
    <w:rsid w:val="00ED7396"/>
    <w:rsid w:val="00EE0459"/>
    <w:rsid w:val="00EE0A74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EF57CF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6B2"/>
    <w:rsid w:val="00FB38D2"/>
    <w:rsid w:val="00FB39DC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9F0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754F-F73B-4352-BB30-988A1237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2688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17173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GABINETE-03</cp:lastModifiedBy>
  <cp:revision>7</cp:revision>
  <cp:lastPrinted>2020-06-01T14:10:00Z</cp:lastPrinted>
  <dcterms:created xsi:type="dcterms:W3CDTF">2020-05-15T01:25:00Z</dcterms:created>
  <dcterms:modified xsi:type="dcterms:W3CDTF">2020-06-01T14:10:00Z</dcterms:modified>
</cp:coreProperties>
</file>